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  <w:r w:rsidR="009D1978">
        <w:t xml:space="preserve"> Октябрьского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от «__»___________ 2016 г. 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D919D3">
        <w:rPr>
          <w:b/>
          <w:sz w:val="28"/>
          <w:szCs w:val="28"/>
        </w:rPr>
        <w:t xml:space="preserve">Октябрьского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>Настоящее приложение регулирует порядок определения нормативных затрат на обеспечение функций администрации</w:t>
      </w:r>
      <w:r w:rsidR="0080291E">
        <w:rPr>
          <w:rFonts w:ascii="Times New Roman" w:hAnsi="Times New Roman"/>
          <w:sz w:val="28"/>
          <w:szCs w:val="28"/>
        </w:rPr>
        <w:t xml:space="preserve"> Октябрьского муниципального образования</w:t>
      </w:r>
      <w:r w:rsidRPr="00BB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</w:t>
      </w:r>
      <w:r w:rsidR="00116708">
        <w:rPr>
          <w:rFonts w:ascii="Times New Roman" w:hAnsi="Times New Roman"/>
          <w:sz w:val="28"/>
          <w:szCs w:val="28"/>
        </w:rPr>
        <w:t xml:space="preserve"> Октябрьского муниципального образования</w:t>
      </w:r>
      <w:r w:rsidRPr="00BB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D44F0D">
        <w:rPr>
          <w:rFonts w:ascii="Times New Roman" w:hAnsi="Times New Roman"/>
          <w:sz w:val="28"/>
          <w:szCs w:val="28"/>
        </w:rPr>
        <w:t>23</w:t>
      </w:r>
      <w:r w:rsidRPr="00BB247D">
        <w:rPr>
          <w:rFonts w:ascii="Times New Roman" w:hAnsi="Times New Roman"/>
          <w:sz w:val="28"/>
          <w:szCs w:val="28"/>
        </w:rPr>
        <w:t xml:space="preserve"> декабря 2015 года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№</w:t>
      </w:r>
      <w:r w:rsidR="00116708">
        <w:rPr>
          <w:rFonts w:ascii="Times New Roman" w:hAnsi="Times New Roman"/>
          <w:sz w:val="28"/>
          <w:szCs w:val="28"/>
        </w:rPr>
        <w:t xml:space="preserve"> </w:t>
      </w:r>
      <w:r w:rsidR="00177252">
        <w:rPr>
          <w:rFonts w:ascii="Times New Roman" w:hAnsi="Times New Roman"/>
          <w:sz w:val="28"/>
          <w:szCs w:val="28"/>
        </w:rPr>
        <w:t>3</w:t>
      </w:r>
      <w:r w:rsidR="00D44F0D">
        <w:rPr>
          <w:rFonts w:ascii="Times New Roman" w:hAnsi="Times New Roman"/>
          <w:sz w:val="28"/>
          <w:szCs w:val="28"/>
        </w:rPr>
        <w:t>6</w:t>
      </w:r>
      <w:r w:rsidRPr="00BB247D">
        <w:rPr>
          <w:rFonts w:ascii="Times New Roman" w:hAnsi="Times New Roman"/>
          <w:sz w:val="28"/>
          <w:szCs w:val="28"/>
        </w:rPr>
        <w:t>-П «</w:t>
      </w:r>
      <w:r w:rsidR="00177252">
        <w:rPr>
          <w:rFonts w:ascii="Times New Roman" w:hAnsi="Times New Roman"/>
          <w:sz w:val="28"/>
          <w:szCs w:val="28"/>
        </w:rPr>
        <w:t xml:space="preserve">Об утверждении </w:t>
      </w:r>
      <w:r w:rsidR="00D44F0D">
        <w:rPr>
          <w:rFonts w:ascii="Times New Roman" w:hAnsi="Times New Roman"/>
          <w:sz w:val="28"/>
          <w:szCs w:val="28"/>
        </w:rPr>
        <w:t>требований к определению нормат</w:t>
      </w:r>
      <w:r w:rsidR="009D1978">
        <w:rPr>
          <w:rFonts w:ascii="Times New Roman" w:hAnsi="Times New Roman"/>
          <w:sz w:val="28"/>
          <w:szCs w:val="28"/>
        </w:rPr>
        <w:t>и</w:t>
      </w:r>
      <w:r w:rsidR="00D44F0D">
        <w:rPr>
          <w:rFonts w:ascii="Times New Roman" w:hAnsi="Times New Roman"/>
          <w:sz w:val="28"/>
          <w:szCs w:val="28"/>
        </w:rPr>
        <w:t>вных затрат на обеспечение функций</w:t>
      </w:r>
      <w:r w:rsidR="00177252">
        <w:rPr>
          <w:rFonts w:ascii="Times New Roman" w:hAnsi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 w:rsidR="00177252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17725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BB247D">
        <w:rPr>
          <w:rFonts w:ascii="Times New Roman" w:hAnsi="Times New Roman"/>
          <w:sz w:val="28"/>
          <w:szCs w:val="28"/>
        </w:rPr>
        <w:t>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 xml:space="preserve">при формировании обоснования бюджетных ассигнований муниципального бюджета на закупки товаров, работ, услуг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E45E9A">
      <w:pPr>
        <w:ind w:left="10206"/>
      </w:pPr>
      <w:r>
        <w:t>к распоряжению администрации</w:t>
      </w:r>
      <w:r w:rsidR="00D44F0D">
        <w:t xml:space="preserve"> Октябрьского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E45E9A" w:rsidRPr="00116708" w:rsidRDefault="00116708" w:rsidP="00116708">
      <w:pPr>
        <w:pStyle w:val="a8"/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1670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E45E9A" w:rsidRPr="00116708"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11670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116708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9D1978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D197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9D1978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D1978">
              <w:rPr>
                <w:rFonts w:ascii="Times New Roman" w:hAnsi="Times New Roman"/>
                <w:sz w:val="24"/>
                <w:szCs w:val="24"/>
              </w:rPr>
              <w:t>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9D1978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D1978">
              <w:rPr>
                <w:rFonts w:ascii="Times New Roman" w:hAnsi="Times New Roman"/>
                <w:sz w:val="24"/>
                <w:szCs w:val="24"/>
              </w:rPr>
              <w:t>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9D197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9D1978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9D1978">
              <w:rPr>
                <w:rFonts w:ascii="Times New Roman" w:hAnsi="Times New Roman"/>
                <w:sz w:val="24"/>
                <w:szCs w:val="24"/>
              </w:rPr>
              <w:t>10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9D197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D197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D197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lastRenderedPageBreak/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Pr="00116708" w:rsidRDefault="00E45E9A" w:rsidP="00116708">
      <w:pPr>
        <w:pStyle w:val="a8"/>
        <w:numPr>
          <w:ilvl w:val="0"/>
          <w:numId w:val="17"/>
        </w:numPr>
        <w:spacing w:before="240" w:after="120"/>
        <w:jc w:val="both"/>
        <w:rPr>
          <w:rFonts w:ascii="Times New Roman" w:hAnsi="Times New Roman"/>
        </w:rPr>
      </w:pPr>
      <w:r w:rsidRPr="00116708">
        <w:rPr>
          <w:rFonts w:ascii="Times New Roman" w:hAnsi="Times New Roman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C4169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87308"/>
    <w:multiLevelType w:val="hybridMultilevel"/>
    <w:tmpl w:val="4E184AF6"/>
    <w:lvl w:ilvl="0" w:tplc="2F764E3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16708"/>
    <w:rsid w:val="00143268"/>
    <w:rsid w:val="0017632B"/>
    <w:rsid w:val="00177252"/>
    <w:rsid w:val="00181D9B"/>
    <w:rsid w:val="0018392E"/>
    <w:rsid w:val="00187C06"/>
    <w:rsid w:val="001C4C84"/>
    <w:rsid w:val="001E28AE"/>
    <w:rsid w:val="001E50D4"/>
    <w:rsid w:val="002048FB"/>
    <w:rsid w:val="00250927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A08A4"/>
    <w:rsid w:val="007A67FF"/>
    <w:rsid w:val="007F5DBD"/>
    <w:rsid w:val="0080291E"/>
    <w:rsid w:val="00816DEF"/>
    <w:rsid w:val="008316A0"/>
    <w:rsid w:val="00843671"/>
    <w:rsid w:val="00850E4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92245"/>
    <w:rsid w:val="009C3F63"/>
    <w:rsid w:val="009D1978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4CB6"/>
    <w:rsid w:val="00D44F0D"/>
    <w:rsid w:val="00D919D3"/>
    <w:rsid w:val="00DA5E3B"/>
    <w:rsid w:val="00DB5CFD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62752"/>
    <w:rsid w:val="00FC58F7"/>
    <w:rsid w:val="00FD03A1"/>
    <w:rsid w:val="00F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B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8DC-9FEC-4E65-9559-B6AEFA85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Наталья</cp:lastModifiedBy>
  <cp:revision>6</cp:revision>
  <cp:lastPrinted>2016-02-20T07:23:00Z</cp:lastPrinted>
  <dcterms:created xsi:type="dcterms:W3CDTF">2016-10-19T06:59:00Z</dcterms:created>
  <dcterms:modified xsi:type="dcterms:W3CDTF">2016-10-27T07:04:00Z</dcterms:modified>
</cp:coreProperties>
</file>